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D2" w:rsidRDefault="00AA022A">
      <w:pPr>
        <w:pStyle w:val="Textbody"/>
        <w:jc w:val="center"/>
        <w:rPr>
          <w:rFonts w:hint="eastAsia"/>
        </w:rPr>
      </w:pPr>
      <w:bookmarkStart w:id="0" w:name="_GoBack"/>
      <w:bookmarkEnd w:id="0"/>
      <w:r>
        <w:rPr>
          <w:rStyle w:val="StrongEmphasis"/>
        </w:rPr>
        <w:t>Akt notarialny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Dnia drugiego maja</w:t>
      </w:r>
      <w:r>
        <w:t xml:space="preserve"> dwa tysiące siedemnastego roku (02.06.2017 r.) przed Janem Kowalskim. Notariuszem w Gdańsku w siedzibie jego kancelarii przy ulicy Letniej nr 32 stawili się:</w:t>
      </w:r>
    </w:p>
    <w:p w:rsidR="00F14BD2" w:rsidRDefault="00AA022A">
      <w:pPr>
        <w:pStyle w:val="Textbody"/>
        <w:jc w:val="center"/>
        <w:rPr>
          <w:rFonts w:hint="eastAsia"/>
        </w:rPr>
      </w:pPr>
      <w:r>
        <w:rPr>
          <w:rStyle w:val="StrongEmphasis"/>
        </w:rPr>
        <w:t>1. Janusz Nowak</w:t>
      </w:r>
      <w:r>
        <w:t>, [numer i seria dowodu osobistego] identyfikujący się numerem PESEL [...], syn M</w:t>
      </w:r>
      <w:r>
        <w:t>ieczysława i Elwiry, zamieszkały w Gdańsku przy ulicy Porzeczkowej nr 4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rPr>
          <w:rStyle w:val="StrongEmphasis"/>
        </w:rPr>
        <w:t xml:space="preserve">2. Adrianna </w:t>
      </w:r>
      <w:proofErr w:type="spellStart"/>
      <w:r>
        <w:rPr>
          <w:rStyle w:val="StrongEmphasis"/>
        </w:rPr>
        <w:t>Iwulska</w:t>
      </w:r>
      <w:proofErr w:type="spellEnd"/>
      <w:r>
        <w:rPr>
          <w:rStyle w:val="StrongEmphasis"/>
        </w:rPr>
        <w:t>,</w:t>
      </w:r>
      <w:r>
        <w:rPr>
          <w:rStyle w:val="StrongEmphasis"/>
          <w:b w:val="0"/>
          <w:bCs w:val="0"/>
        </w:rPr>
        <w:t xml:space="preserve"> [numer i seria dowodu osobistego]</w:t>
      </w:r>
      <w:r>
        <w:rPr>
          <w:rStyle w:val="StrongEmphasis"/>
        </w:rPr>
        <w:t xml:space="preserve"> </w:t>
      </w:r>
      <w:r>
        <w:rPr>
          <w:rStyle w:val="StrongEmphasis"/>
          <w:b w:val="0"/>
          <w:bCs w:val="0"/>
        </w:rPr>
        <w:t>identyfikująca się numerem</w:t>
      </w:r>
      <w:r>
        <w:t xml:space="preserve"> PESEL [...], córka Gabriela i Ireny, zamieszkała w Gdańsku przy ulicy Porzeczkowej nr 4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Tożsamość St</w:t>
      </w:r>
      <w:r>
        <w:t>awających ustalił notariusz na podstawie dowodów osobistych o seriach i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numerach wypisanych wyżej odpowiednio obok nazwisk.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rPr>
          <w:rStyle w:val="StrongEmphasis"/>
        </w:rPr>
        <w:t>Umowa o dożywocie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§ 1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Adrianna </w:t>
      </w:r>
      <w:proofErr w:type="spellStart"/>
      <w:r>
        <w:t>Iwulska</w:t>
      </w:r>
      <w:proofErr w:type="spellEnd"/>
      <w:r>
        <w:t xml:space="preserve"> – z powołaniem się na odpis nr [ ], wydany dnia pierwszego kwietnia dwa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tysiące drugiego rok</w:t>
      </w:r>
      <w:r>
        <w:t>u (1.04.2002 r.) przez Sąd Rejonowy w Gdańsku – oświadcza, że w księdze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wieczystej </w:t>
      </w:r>
      <w:proofErr w:type="spellStart"/>
      <w:r>
        <w:t>Kw</w:t>
      </w:r>
      <w:proofErr w:type="spellEnd"/>
      <w:r>
        <w:t xml:space="preserve"> nr [ ], prowadzonej przez wyżej wymieniony Sąd, jest ona wpisana jako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wyłączna właścicielka domu przy ulicy </w:t>
      </w:r>
      <w:proofErr w:type="spellStart"/>
      <w:r>
        <w:t>Pożeczkowej</w:t>
      </w:r>
      <w:proofErr w:type="spellEnd"/>
      <w:r>
        <w:t xml:space="preserve"> nr 4 (cztery), stanowiącego odrębną nieruchomość, </w:t>
      </w:r>
      <w:r>
        <w:t>obejmującego trzy pokoje, kuchnię, dwie łazienki w tym jedną z w.c. i przedpokój, o powierzchni użytkowej 65,00 m2 (sześćdziesiąt pięć metrów kwadratowych).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Adrianna </w:t>
      </w:r>
      <w:proofErr w:type="spellStart"/>
      <w:r>
        <w:t>Iwulska</w:t>
      </w:r>
      <w:proofErr w:type="spellEnd"/>
      <w:r>
        <w:t xml:space="preserve"> oświadcza ponadto, że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a) powyższa nieruchomość wolna jest od jakichkolwiek ciężar</w:t>
      </w:r>
      <w:r>
        <w:t>ów, ograniczeń i roszczeń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osób trzecich;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c) powyższą nieruchomość lokalową kupiła w 2002 roku od Miasta Gdańska.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§ 2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Ewa Nowak własność wyżej w § 1 opisanego lokalu mieszkalnego nr 1 (jeden)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stanowiącego odrębną nieruchomość, objętego księgą wieczystą </w:t>
      </w:r>
      <w:proofErr w:type="spellStart"/>
      <w:r>
        <w:t>Kw</w:t>
      </w:r>
      <w:proofErr w:type="spellEnd"/>
      <w:r>
        <w:t xml:space="preserve"> </w:t>
      </w:r>
      <w:r>
        <w:t>nr [ ], prowadzoną przez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Sąd Rejonowy w Gdańsku </w:t>
      </w:r>
      <w:r>
        <w:rPr>
          <w:rStyle w:val="StrongEmphasis"/>
        </w:rPr>
        <w:t xml:space="preserve">przenosi </w:t>
      </w:r>
      <w:r>
        <w:t>na rzecz Janusza Nowaka, w zamian za dożywocie w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rozumieniu art. 908 Kodeksu cywilnego.</w:t>
      </w:r>
      <w:r>
        <w:br/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Janusz Nowak własność powyższego lokalu </w:t>
      </w:r>
      <w:r>
        <w:rPr>
          <w:rStyle w:val="StrongEmphasis"/>
        </w:rPr>
        <w:t xml:space="preserve">przyjmuje </w:t>
      </w:r>
      <w:r>
        <w:t>i oświadcza, że nabycia tego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dokonuje do swojego majątku oso</w:t>
      </w:r>
      <w:r>
        <w:t>bistego, gdyż jest stanu wolnego.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Janusz Nowak oświadcza, że w ramach dożywocia objętego niniejszym paragrafem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zobowiązuje się on przyjąć zbywcę jako domownika, dostarczać jej wyżywienia, ubrania,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mieszkania, światła i opału, zapewnić jej odpowiednią pomo</w:t>
      </w:r>
      <w:r>
        <w:t>c i pielęgnowanie w chorobie oraz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sprawić jej własnym kosztem pogrzeb odpowiadający zwyczajom miejscowym. Jednocześnie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nabywca, Adam Kowalski, w ramach tego dożywocia </w:t>
      </w:r>
      <w:r>
        <w:rPr>
          <w:rStyle w:val="StrongEmphasis"/>
        </w:rPr>
        <w:t xml:space="preserve">ustanawia </w:t>
      </w:r>
      <w:r>
        <w:t>na rzecz dożywotnika, Ewy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Nowak, na nabytym lokalu mieszkalnym nr 4 (cztery), o</w:t>
      </w:r>
      <w:r>
        <w:t xml:space="preserve">bjętym księgą wieczystą </w:t>
      </w:r>
      <w:proofErr w:type="spellStart"/>
      <w:r>
        <w:t>Kw</w:t>
      </w:r>
      <w:proofErr w:type="spellEnd"/>
      <w:r>
        <w:t xml:space="preserve"> nr [ ],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prowadzoną przez Sąd Rejonowy w Gdańsku, dożywotnią </w:t>
      </w:r>
      <w:r>
        <w:rPr>
          <w:rStyle w:val="StrongEmphasis"/>
        </w:rPr>
        <w:t>służebność mieszkania</w:t>
      </w:r>
      <w:r>
        <w:t>, której treść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sprowadza się do prawa korzystania z całego tego lokalu, z wyłączeniem dwóch pokoi</w:t>
      </w:r>
    </w:p>
    <w:p w:rsidR="00F14BD2" w:rsidRDefault="00AA022A">
      <w:pPr>
        <w:pStyle w:val="Textbody"/>
        <w:jc w:val="center"/>
        <w:rPr>
          <w:rFonts w:hint="eastAsia"/>
        </w:rPr>
      </w:pPr>
      <w:r>
        <w:br/>
      </w:r>
      <w:r>
        <w:t>§ 3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Przeniesienie posiadania samoistnego na nabyw</w:t>
      </w:r>
      <w:r>
        <w:t>cę już nastąpiło.</w:t>
      </w:r>
    </w:p>
    <w:p w:rsidR="00F14BD2" w:rsidRDefault="00AA022A">
      <w:pPr>
        <w:pStyle w:val="Textbody"/>
        <w:jc w:val="center"/>
        <w:rPr>
          <w:rFonts w:hint="eastAsia"/>
        </w:rPr>
      </w:pPr>
      <w:r>
        <w:br/>
      </w:r>
      <w:r>
        <w:t>§ 4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Koszty wynikające z tego aktu ponosi nabywca.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§ 5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Notariusz zwrócił uwagę stron na skutki prawne wynikające z art. 6 ust. 3 ustawy o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podatku od czynności cywilnoprawnych i art. 56 Kodeksu karnego skarbowego. —————-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Stawający </w:t>
      </w:r>
      <w:r>
        <w:t>oświadczają, że wartość przedmiotu umowy wynosi 450.000,00 zł (czterysta pięćdziesiąt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tysięcy złotych), wartość zaś dożywocia wynosi 1.000,00 zł (jeden tysiąc złotych).</w:t>
      </w:r>
    </w:p>
    <w:p w:rsidR="00F14BD2" w:rsidRDefault="00AA022A">
      <w:pPr>
        <w:pStyle w:val="Textbody"/>
        <w:jc w:val="center"/>
        <w:rPr>
          <w:rFonts w:hint="eastAsia"/>
        </w:rPr>
      </w:pPr>
      <w:r>
        <w:br/>
      </w:r>
      <w:r>
        <w:t>§ 6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 xml:space="preserve">Strony wnoszą o wpisanie w księdze wieczystej </w:t>
      </w:r>
      <w:proofErr w:type="spellStart"/>
      <w:r>
        <w:t>Kw</w:t>
      </w:r>
      <w:proofErr w:type="spellEnd"/>
      <w:r>
        <w:t xml:space="preserve"> nr [ ], prowadzonej przez Sąd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Re</w:t>
      </w:r>
      <w:r>
        <w:t>jonowy w G., własności na rzecz Adama Kowalskiego oraz dożywocia – o treści określonej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wyżej w § 2 – na rzecz Ewy Nowak.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§ 7</w:t>
      </w:r>
    </w:p>
    <w:p w:rsidR="00F14BD2" w:rsidRDefault="00AA022A">
      <w:pPr>
        <w:pStyle w:val="Textbody"/>
        <w:jc w:val="center"/>
        <w:rPr>
          <w:rFonts w:hint="eastAsia"/>
        </w:rPr>
      </w:pPr>
      <w:r>
        <w:rPr>
          <w:rStyle w:val="StrongEmphasis"/>
        </w:rPr>
        <w:t>Pobrano: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a) podatek od czynności cywilnoprawnych w stawce 2% od wartości przedmiotu umowy z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mocy art. 7 ust.1 pkt 2 lit. a ustawy</w:t>
      </w:r>
      <w:r>
        <w:t xml:space="preserve"> o podatku od czynności cywilnoprawnych (Dz. U. z</w:t>
      </w:r>
    </w:p>
    <w:p w:rsidR="00F14BD2" w:rsidRDefault="00AA022A">
      <w:pPr>
        <w:pStyle w:val="Textbody"/>
        <w:jc w:val="center"/>
        <w:rPr>
          <w:rFonts w:hint="eastAsia"/>
        </w:rPr>
      </w:pPr>
      <w:r>
        <w:lastRenderedPageBreak/>
        <w:t>2000 r. Nr 86, poz. 959);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b) opłatę sądową z mocy § 42 ust. 1 ustawy o kosztach sądowych w sprawach cywilnych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(Dz. U. z 2005 r. Nr 167, poz. 1398) – od wniosku o wpis własności w księdze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wieczystej;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c) o</w:t>
      </w:r>
      <w:r>
        <w:t>płatę sądową z mocy § 43 pkt 3 ustawy o kosztach sądowych w sprawach cywilnych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(Dz. U. z 2005 r. Nr 167, poz. 1398) – od wniosku o wpis dożywocia w księdze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wieczystej;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d) taksę notarialną z mocy § 5 rozporządzenia w sprawie maksymalnych stawek taksy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notar</w:t>
      </w:r>
      <w:r>
        <w:t>ialnej taksy notarialnej (Dz. U. z 2004 r. Nr 148, poz. 1564);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e) podatek VAT od taksy pod lit. d w stawce 22% z mocy art. 41 ustawy o podatku od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towarów i usług (Dz. U. z 2004 r. Nr 54, poz. 535);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f) taksę notarialną z mocy § 16 rozporządzenia w sprawie</w:t>
      </w:r>
      <w:r>
        <w:t xml:space="preserve"> maksymalnych stawek taksy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notarialnej taksy notarialnej (Dz. U. z 2004 r. Nr 148, poz. 1564) – od wniosku o wpis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praw do księgi wieczystej;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g) podatek VAT od taksy notarialnej pod lit. f w stawce 22% z mocy art. 41 ustawy o</w:t>
      </w:r>
    </w:p>
    <w:p w:rsidR="00F14BD2" w:rsidRDefault="00AA022A">
      <w:pPr>
        <w:pStyle w:val="Textbody"/>
        <w:jc w:val="center"/>
        <w:rPr>
          <w:rFonts w:hint="eastAsia"/>
        </w:rPr>
      </w:pPr>
      <w:r>
        <w:t>podatku od towarów i usług (Dz</w:t>
      </w:r>
      <w:r>
        <w:t>. U. z 2004 r. Nr 54, poz. 535).</w:t>
      </w: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F14BD2">
      <w:pPr>
        <w:pStyle w:val="Textbody"/>
        <w:jc w:val="center"/>
        <w:rPr>
          <w:rFonts w:hint="eastAsia"/>
        </w:rPr>
      </w:pPr>
    </w:p>
    <w:p w:rsidR="00F14BD2" w:rsidRDefault="00AA022A">
      <w:pPr>
        <w:pStyle w:val="Textbody"/>
        <w:jc w:val="center"/>
        <w:rPr>
          <w:rFonts w:hint="eastAsia"/>
        </w:rPr>
      </w:pPr>
      <w:r>
        <w:t>Akt ten został odczytany, przyjęty i podpisany.</w:t>
      </w:r>
    </w:p>
    <w:p w:rsidR="00F14BD2" w:rsidRDefault="00AA022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Adrianna </w:t>
      </w:r>
      <w:proofErr w:type="spellStart"/>
      <w:r>
        <w:t>Iwulska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Janusz Nowak</w:t>
      </w:r>
    </w:p>
    <w:sectPr w:rsidR="00F1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2A" w:rsidRDefault="00AA022A">
      <w:pPr>
        <w:rPr>
          <w:rFonts w:hint="eastAsia"/>
        </w:rPr>
      </w:pPr>
      <w:r>
        <w:separator/>
      </w:r>
    </w:p>
  </w:endnote>
  <w:endnote w:type="continuationSeparator" w:id="0">
    <w:p w:rsidR="00AA022A" w:rsidRDefault="00AA02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2A" w:rsidRDefault="00AA02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022A" w:rsidRDefault="00AA02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73563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73564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747" w:rsidRDefault="00B9374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73562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4BD2"/>
    <w:rsid w:val="000F3330"/>
    <w:rsid w:val="00AA022A"/>
    <w:rsid w:val="00B93747"/>
    <w:rsid w:val="00F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DCCAD3-876B-4DA7-A0C7-638432F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37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374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937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374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2ACE-251F-46CA-AA83-BC9DFDD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 Pledziewicz</dc:creator>
  <cp:lastModifiedBy>Domink Pledziewicz</cp:lastModifiedBy>
  <cp:revision>2</cp:revision>
  <dcterms:created xsi:type="dcterms:W3CDTF">2018-01-22T10:22:00Z</dcterms:created>
  <dcterms:modified xsi:type="dcterms:W3CDTF">2018-01-22T10:22:00Z</dcterms:modified>
</cp:coreProperties>
</file>